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?><Relationships xmlns="http://schemas.openxmlformats.org/package/2006/relationships"><Relationship Target="word/document.xml" Id="pkgRId0" Type="http://schemas.openxmlformats.org/officeDocument/2006/relationships/officeDocument"/></Relationships>
</file>

<file path=word/document.xml><?xml version="1.0" encoding="utf-8"?>
<w:document xmlns:w="http://schemas.openxmlformats.org/wordprocessingml/2006/main">
  <w:body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PODACI I UPUTE ZA PROVEDBU NATJE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ČAJA ZA PRIJAM U SLUŽBU – PROČELNIK UPRAVNOG ODJELA ZA PROSTORNO UREĐENJE, IMOVINSKOPRAVNE POSLOVE, KOMUNALNI SUSTAV I ZAŠTITU OKOLIŠA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U Narodnim novinama broj 69/2023 dana 28. lipnja 2023. objavljen je natje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čaj za prijam u službu na neodređeno u Grad Trilj na radno mjesto pročelnik Upravnog odjela za prostorno uređenje, imovinskopravne poslove, komunalni sustav i zaštitu okoliša.  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br/>
        <w:t xml:space="preserve">Posljednji dan za predaju prijava na natje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čaj pošti (preporučenom poštanskom pošiljkom) ili izravno na protokol grada je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13. srpnja 2023. godine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I.  PRO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ČELNIK/PROČELNICA UPRAVNOG ODJELA ZA PROSTORNO UREĐENJE, IMOVINSKOPRAVNE POSLOVE, KOMUNALNI SUSTAV I ZAŠTITU OKOLIŠA -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1 (jedan) izvršitelj na neodređeno vrijeme   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                                                                                                                                                                      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1. Opis poslova: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- rukovodi Upravnim odjelom, organizira rad Odjela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- osigurava zakonitost rada te provo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đenje obveza utvrđenih zakonom, odlukama Gradskog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vije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ća i Gradonačelnika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- koordinira rad Odjela sa drugim upravnim tijelima Grada, državnim tijelima i ustanovama,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jedinicama lokalne i podru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čne (regionalne) samouprave i njihovim institucijama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- predlaže smjernice, planove i akte Gradona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čelniku, te podnosi izvješća o radu iz nadležnosti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Odjela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- prati propise i stru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čnu literaturu iz nadležnosti Odjela te sudjeluje u raznim vidovima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edukacija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- obavlja i druge poslove sukladno smjernicama i uputama Gradona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čelnika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- rad sa strankama.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2. Podaci o pla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ći: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Sukladno ODLUCI o koeficijentima za obra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čun plaće službenika i namještenika gradske uprave Grada Trilja (KLASA: 021-02/17-01/6 , URBROJ: 2175-05-01-17-01) Bruto plaću službenika čini umnožak koeficijenta složenosti poslova radnog mjesta (  3,60  ) i osnovice za izračun plaće.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3. Na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čin obavljanja prethodne provjere znanja i sposobnosti kandidata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Prethodna provjera znanja i sposobnosti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obavlja se putem pisanog testiranja i intervjuom.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Prethodnoj provjeri znanja i sposobnosti mogu pristupiti samo kandidati koji ispunjavaju formalne uvjete iz natje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čaja.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Za svaki dio provjere kandidatima se dodjeljuje odre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đeni broj bodova od 1 do 10.      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Intervju se provodi samo s kandidatima koji su ostvarili najmanje 50% bodova na pisanom testiranju iz svakog dijela provjere znanja i sposobnosti kandidata.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4. Pravni izvori za pripremanje kandidata za prethodnu provjeru znanja i sposobnosti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</w:pPr>
    </w:p>
    <w:p>
      <w:pPr>
        <w:spacing w:before="0" w:after="0" w:line="240"/>
        <w:ind w:right="0" w:left="36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1. Zakon o lokalnoj i podru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čnoj (regionalnoj) samoupravi („Narodne novine“ broj 33/01, 60/01 - vjerodostojno tumačenje, 129/05, 109/07, 125/08, 36/09, 150/11, 144/12, 19/13 – pročišćeni tekst, 137/15- ispr., 123/17, 98/19 i 144/20),</w:t>
      </w:r>
    </w:p>
    <w:p>
      <w:pPr>
        <w:spacing w:before="0" w:after="0" w:line="240"/>
        <w:ind w:right="0" w:left="36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2. Zakon o službenicima i namještenicima u lokalnoj i podru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čnoj (regionalnoj) samoupravi („Narodne novine“ broj 86/08, 61/11, 04/18 – Uredba i 112/19),</w:t>
      </w:r>
    </w:p>
    <w:p>
      <w:pPr>
        <w:spacing w:before="0" w:after="0" w:line="240"/>
        <w:ind w:right="0" w:left="36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3. Zakon o op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ćem upravnom postupku („Narodne novine“ broj 47/09 i 110/21),</w:t>
      </w:r>
    </w:p>
    <w:p>
      <w:pPr>
        <w:spacing w:before="0" w:after="0" w:line="240"/>
        <w:ind w:right="0" w:left="36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4. Uredba o uredskom poslovanju („Narodne novine“ broj 75/21), </w:t>
      </w:r>
    </w:p>
    <w:p>
      <w:pPr>
        <w:spacing w:before="0" w:after="0" w:line="240"/>
        <w:ind w:right="0" w:left="36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5. Zakon o gradnji („Narodne novine“ broj 153/13, 20/17, 39/19 i 125/19),</w:t>
      </w:r>
    </w:p>
    <w:p>
      <w:pPr>
        <w:spacing w:before="0" w:after="0" w:line="240"/>
        <w:ind w:right="0" w:left="36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6. Zakon o prostornom ure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đenju („Narodne novine“ broj 153/13, 65/17, 114/18, 39/19, 98/19 i 67/23),</w:t>
      </w:r>
    </w:p>
    <w:p>
      <w:pPr>
        <w:tabs>
          <w:tab w:val="left" w:pos="284" w:leader="none"/>
        </w:tabs>
        <w:spacing w:before="0" w:after="0" w:line="240"/>
        <w:ind w:right="0" w:left="0" w:firstLine="36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7.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Zakon o komunalnom gospodarstvu („Narodne novine“ broj 68/18, 110/18 – Odluka</w:t>
      </w:r>
    </w:p>
    <w:p>
      <w:pPr>
        <w:tabs>
          <w:tab w:val="left" w:pos="284" w:leader="none"/>
        </w:tabs>
        <w:spacing w:before="0" w:after="0" w:line="240"/>
        <w:ind w:right="0" w:left="0" w:firstLine="36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US RH i 32/20),</w:t>
      </w:r>
    </w:p>
    <w:p>
      <w:pPr>
        <w:spacing w:before="0" w:after="0" w:line="240"/>
        <w:ind w:right="0" w:left="36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8. Zakon o zaštiti okoliša („Narodne novine“ broj 80/13, 153/13, 78/15, 12/18, 118/18),</w:t>
      </w:r>
    </w:p>
    <w:p>
      <w:pPr>
        <w:spacing w:before="0" w:after="0" w:line="240"/>
        <w:ind w:right="0" w:left="36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9. Zakon o gospodarenju otpadom („Narodne novine“ broj 84/21)</w:t>
      </w:r>
    </w:p>
    <w:p>
      <w:pPr>
        <w:spacing w:before="0" w:after="0" w:line="240"/>
        <w:ind w:right="0" w:left="36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10. Statut Grada Trilja   („Službeni Glasnik Grada Trilja“ broj 03/09, 01/13, 02/18 i 01/21)   dostupan na linku: </w:t>
      </w:r>
      <w:hyperlink xmlns:r="http://schemas.openxmlformats.org/officeDocument/2006/relationships" r:id="docRId0">
        <w:r>
          <w:rPr>
            <w:rFonts w:ascii="Times New Roman" w:hAnsi="Times New Roman" w:cs="Times New Roman" w:eastAsia="Times New Roman"/>
            <w:color w:val="0000FF"/>
            <w:spacing w:val="0"/>
            <w:position w:val="0"/>
            <w:sz w:val="24"/>
            <w:u w:val="single"/>
            <w:shd w:fill="FFFFFF" w:val="clear"/>
          </w:rPr>
          <w:t xml:space="preserve">https://trilj.hr/statut-grada-trilja/</w:t>
        </w:r>
      </w:hyperlink>
    </w:p>
    <w:p>
      <w:pPr>
        <w:spacing w:before="0" w:after="0" w:line="240"/>
        <w:ind w:right="0" w:left="36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5. Vrijeme i mjesto održavanja prethodne provjere znanja i sposobnosti bit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će objavljeni na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 ovoj web stranici i na oglasnoj ploči Gradske uprave, najmanje 5 (pet) dana prije održavanja provjere.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Podnositelji prijava dužni su u prijavi na javni natje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čaj navesti broj telefona za kontakt za potrebe provođenja natječajnog postupka.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</w:p>
    <w:p>
      <w:pPr>
        <w:spacing w:before="0" w:after="0" w:line="240"/>
        <w:ind w:right="0" w:left="0" w:firstLine="0"/>
        <w:jc w:val="righ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POVJERENSTVO ZA PROVEDBU NATJE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ČAJA</w:t>
      </w: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?><Relationships xmlns="http://schemas.openxmlformats.org/package/2006/relationships"><Relationship TargetMode="External" Target="https://trilj.hr/statut-grada-trilja/" Id="docRId0" Type="http://schemas.openxmlformats.org/officeDocument/2006/relationships/hyperlink"/><Relationship Target="numbering.xml" Id="docRId1" Type="http://schemas.openxmlformats.org/officeDocument/2006/relationships/numbering"/><Relationship Target="styles.xml" Id="docRId2" Type="http://schemas.openxmlformats.org/officeDocument/2006/relationships/styles"/></Relationships>
</file>