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</w:t>
      </w:r>
      <w:r>
        <w:object w:dxaOrig="748" w:dyaOrig="849">
          <v:rect xmlns:o="urn:schemas-microsoft-com:office:office" xmlns:v="urn:schemas-microsoft-com:vml" id="rectole0000000000" style="width:37.400000pt;height:42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REPUBLIKA HRVATSKA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SPLITSKO-DALMATINSKA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ŽUPANIJA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GRAD TRILJ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Gradsko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0" w:after="90" w:line="30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Temeljem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35. Zakona o lokalnoj samoupravi i upravi ( NN   33/01, 60/01, 129/05,109/07, 125/08, 36/09, 150/11, 144/12, 19/13, 137/15, 98/19,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144/20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 10. st. 9. Zakona o grobljima (NN 78/25) i članka 32. Statuta Grada Trilja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žbeni glasnik Grada Trilja 03/09, 01/13, 02/18, 01/21, 05/23 i 09/23), Gradsko vijeće Grada Trilja na ___. sjednici održanoj  dana  _________ 2025. godine, donosi: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ODLUKU O VISINI GROBNIH NAKNADA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 grobljima na podru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čju Grada Trilja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1.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Ovom Odlukom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đuju se: visina naknade za korištenje grobnog mjesta sa izgrađenom grobnicom, visina naknade za korištenje grobnog mjesta i godišnja grobna naknada.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2.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NAKNADA ZA KORI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ŠTENJE GROBNOG MJESTA SA IZGRAĐENOM GROBNICOM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Upravni odjel za prostorno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đenje, imovinskopravne poslove, komunalni sustav i zaštitu okoliša u svojstvu  uprave groblja daje grobno mjesto sa izgrađenom grobnicom na korištenje na neodređeno vrijeme uz naknadu i o tome donosi rješenje.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Grobno mjesto je izgra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đena grobnica veličine:</w:t>
      </w:r>
    </w:p>
    <w:p>
      <w:pPr>
        <w:numPr>
          <w:ilvl w:val="0"/>
          <w:numId w:val="11"/>
        </w:numPr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3+1 ukopno mjesto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TIP I    (nadalje TIP I)</w:t>
      </w:r>
    </w:p>
    <w:p>
      <w:pPr>
        <w:numPr>
          <w:ilvl w:val="0"/>
          <w:numId w:val="11"/>
        </w:numPr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6+1 ukopno mjesto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TIP II   (nadalje TIP II)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3.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đuje se visina jednokratne naknade za korištenje grobnog mjesta sa izgrađenom grobnicom: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 - izgra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đena grobnica TIP I            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5.500,00 EUR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izgra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đena grobnica TIP II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6.500,00 EUR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4.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NAKNADA ZA KORI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ŠTENJE GROBNOG MJESTA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Upravni odjel za prostorno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đenje, imovinskopravne poslove, komunalni sustav i zaštitu okoliša u svojstvu  uprave groblja daje grobno mjesto na korištenje na neodređeno vrijeme uz naknadu i o tome donosi rješenje.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Grobno mjesto za gradnju grobnice veli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čine:</w:t>
      </w:r>
    </w:p>
    <w:p>
      <w:pPr>
        <w:numPr>
          <w:ilvl w:val="0"/>
          <w:numId w:val="25"/>
        </w:numPr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3+1 ukopno mjesto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TIP I    (nadalje TIP I)</w:t>
      </w:r>
    </w:p>
    <w:p>
      <w:pPr>
        <w:numPr>
          <w:ilvl w:val="0"/>
          <w:numId w:val="25"/>
        </w:numPr>
        <w:spacing w:before="0" w:after="135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6+1 ukopno mjesto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TIP II   (nadalje TIP II)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5.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đuje se visina jednokratne naknade  za korištenje grobnog mjesta:</w:t>
      </w: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za gradnju grobnice TIP I            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400,00 EUR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za gradnju grobnice TIP II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35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500,00 EUR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zemljano grobno mjesto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200,00 EUR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pretinac za urnu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100,00 EUR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4.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Temeljem podnesenog zahtjeva za dodjelu grobnog mjesta na kori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štenje na neodređeno vrijeme, Upravni odjel za prostorno uređenje, imovinskopravne poslove, komunalni sustav i zaštitu okoliša donosi rješenje, koje s uplatnicom  dostavlja  korisniku grobnog mjesta.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Korisnici su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žni uplatiti naknadu iz članka 3. u roku od 15 dana od zaprimanja rješenja.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Ukoliko podnositelj zahtjeva za dodjelu grobnice nije u mogu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ćnosti jednokratno platiti naknadu za korištenje, istu će moći platiti u 12 jednakih obroka.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Prilikom izdavanja rje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šenja korisnik će dobiti 12 uplatnica na 12 jednakih obroka, koje je dužan uplaćivati mjesečno na žiro račun Grada Trilja.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đena naknada za grobno mjesto i godišnja grobna naknada plaćaju se jednokratno u roku od 15 dana od zaprimanja rješenja.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čaju nemogućnosti plaćanja iz opravdanih razloga, Odluku  o načinu, odnosno oslobađanju plaćanja će donijeti Gradonačelnik.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5.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sve grobnice na mjesnim grobljima koje se koriste  prije stupanja na snagu ove Odluke, a za koje su sklopljeni  ugovori o kupoprodaji grobnica i  temeljem kojih je upla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ćena cijena utvrđena u kupoprodajnom ugovoru, Upravni odjel za prostorno uređenje, imovinskopravne poslove, komunalni sustav i zaštitu okoliša izdati će Rješenja o korištenju grobnog mjesta na neodređeno vrijeme bez naknade.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 rje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šenju o  korištenju grobnog mjesta  biti će utvrđena nova oznaka polja u kojem se nalazi grobno mjesto i oznaka samog grobnog mjesta, odnosno grobnice.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6.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Korisnik je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žan brinuti se o uređenju  održavanju grobnog mjesta, a sve sukladno Zakonu o grobljima.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Pravo ukopa imaju korisnik 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članovi njegove obitelji. Nakon smrti korisnika pravo korištenja stječu nasljednici korisnika.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Pravo ukopa uz korisnika grobnog mjesta imaju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članovi njegove obitelji.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Korisnik grobnog mjesta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dopustiti privremeni ukop i drugim osobama.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Nakon smrti korisnika grobnog mjesta kori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štenje grobnog mjesta stječu njegovi nasljednici.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Korisnik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korištenje grobnog mjesta ugovorom ustupiti trećim osobama. Ugovor o ustupanju tog korištenja mora se dostaviti upravi groblja radi upisa novog korisnika u grobni očevidnik.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Oprema i ure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đaj groba izgrađeni na grobnom mjestu smatraju se nekretninom.</w:t>
      </w:r>
    </w:p>
    <w:p>
      <w:pPr>
        <w:spacing w:before="0" w:after="135" w:line="240"/>
        <w:ind w:right="0" w:left="0" w:firstLine="0"/>
        <w:jc w:val="left"/>
        <w:rPr>
          <w:rFonts w:ascii="Tahoma" w:hAnsi="Tahoma" w:cs="Tahoma" w:eastAsia="Tahoma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Uprava groblja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obustaviti ukope u grobno mjesto u slučaju spora o pravu ukopa, odnosno korištenju grobnog mjesta dok spor ne bude riješen</w:t>
      </w:r>
      <w:r>
        <w:rPr>
          <w:rFonts w:ascii="Tahoma" w:hAnsi="Tahoma" w:cs="Tahoma" w:eastAsia="Tahoma"/>
          <w:color w:val="333333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Korisnik je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žan dostaviti podatke o ukopanoj osobi Upravnom odjelu za prostorno uređenje, imovinskopravne poslove, komunalni sustav i zaštitu okoliša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7.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ŠNJA GROBNA NAKNADA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đuje se visina godišnje grobne naknade u iznosu od: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508"/>
        <w:gridCol w:w="4508"/>
      </w:tblGrid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mjesto-grobnica veli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čine  3+1 ukopnih mjesta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TIP I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30,00 EUR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Grobno mjesto-grobnica veli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čine 6+1 ukopnih mjesta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TIP II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40,00 EUR 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Ure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đeno ukopno okno 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20,00 EUR 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Zemljano grobno mjesto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10,00 EUR</w:t>
            </w:r>
          </w:p>
        </w:tc>
      </w:tr>
      <w:tr>
        <w:trPr>
          <w:trHeight w:val="1" w:hRule="atLeast"/>
          <w:jc w:val="left"/>
        </w:trPr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Pretinac za urnu</w:t>
            </w:r>
          </w:p>
        </w:tc>
        <w:tc>
          <w:tcPr>
            <w:tcW w:w="45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20,00 EUR </w:t>
            </w:r>
          </w:p>
        </w:tc>
      </w:tr>
    </w:tbl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 pla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ćanje naknade iz stavka 1. ove točke Upravni odjel za prostorno uređenje, imovinskopravne poslove, komunalni sustav i zaštitu okoliša izdaje Rješenje s uplatnicom i dostavlja  korisniku, odnosno korisnicima  grobnog mjesta.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šnja grobna naknada plaća se jednom godišnje u cjelokupnom iznosu najkasnije do 31. prosinca tekuće godine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8.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Grobno mjesto za koje grobna naknada nije pla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ćena deset godina, smatra se napuštenim i može se ponovo dodijeliti na korištenje, ali tek nakon proteka petnaest godina od posljednjeg ukopa u grob, odnosno nakon proteka trideset godina od ukopa u grobnicu.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Prija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šnji korisnik grobnog mjesta za koje se prema stavku 1. ovoga članka smatra da je napušteno može raspolagati izgrađenom opremom i uređajem groba (nadgrobna ploča, nadgrobni spomenik i znaci, ograda groba i sl.) nakon što plati dužni iznos grobne naknade sa zakonskim zateznim kamatama. U protivnom smatrat će se da se radi o napuštenoj imovini kojom uprava groblja može slobodno raspolagati.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Uprava groblja je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žna prije dodjele grobnog mjesta, odnosno grobnice drugom korisniku premjestiti ostatke preminulih iz napuštenog groba u zajedničku grobnicu izgrađenu za tu namjenu.</w:t>
      </w:r>
    </w:p>
    <w:p>
      <w:pPr>
        <w:spacing w:before="0" w:after="13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9.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Prikupljena sredstva grobnih naknada sukladno ovoj Odluci  prihod su Grada Trilja kao uprave groblja, a koriste se isklju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čivo za izgradnju i uređenje mjesnih groblja na području Grada Trilja.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Članak 10.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Ova Odluka  stupa na snagu 8 dana od objave 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žbenom glasniku Grada Trilja.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URBROJ: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Trilj _________________ 2025.g.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                     PREDSJEDNIK GRADSKOG VIJE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ĆA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Mirko Odrljin, mag.ing.el. </w:t>
      </w:r>
    </w:p>
    <w:p>
      <w:pPr>
        <w:spacing w:before="0" w:after="135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1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www.zakon.hr/cms.htm?id=46702" Id="docRId2" Type="http://schemas.openxmlformats.org/officeDocument/2006/relationships/hyperlink" /><Relationship Target="styles.xml" Id="docRId4" Type="http://schemas.openxmlformats.org/officeDocument/2006/relationships/styles" /></Relationships>
</file>